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28C2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000000" w:rsidRDefault="00CA28C2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Ковтун Олександр Миколайович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01.02.2019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28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28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28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28C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CA28C2">
      <w:pPr>
        <w:rPr>
          <w:rFonts w:eastAsia="Times New Roman"/>
          <w:color w:val="000000"/>
        </w:rPr>
      </w:pPr>
    </w:p>
    <w:p w:rsidR="00000000" w:rsidRDefault="00CA28C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CA28C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28C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Акцiонерне товариство «Сумський завод насосного та енергетичного машинобудування «Насосенергомаш»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28C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28C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40011, м. Суми, пл. Привокзальна, буд. 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28C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05785448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28C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(0542)70-00-49 (0542)70-00-42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28C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ootiz@nempump.com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CA28C2">
      <w:pPr>
        <w:rPr>
          <w:rFonts w:eastAsia="Times New Roman"/>
          <w:color w:val="000000"/>
        </w:rPr>
      </w:pPr>
    </w:p>
    <w:p w:rsidR="00000000" w:rsidRDefault="00CA28C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2680"/>
        <w:gridCol w:w="2319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01.02.2019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http://nempump.com/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01.02.2019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CA28C2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CA28C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прийняття рішення про надання згоди на вчинення значних правочинів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1498"/>
        <w:gridCol w:w="2995"/>
        <w:gridCol w:w="2246"/>
        <w:gridCol w:w="2246"/>
        <w:gridCol w:w="5241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прийняття рішення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Ринкова вартість майна або послуг, що є предметом правочину (тис. грн)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Вартість активів емітента за даними останньої річної фінансової звітності (тис. грн)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Адреса сторінки власного веб-сайту, на якій розміщений протокол загальних зборів акціонерів/засідання наглядової ради, на яких/якому прийняте рішення 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1545401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http://nempump.com/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A28C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31.01.2019р. Наглядовою радою АТ "Сумський завод "Насосенергомаш" (Протокол засiдання №57 вiд 31.01.19) було прийняте рiшення про надання згоди на вчинення значного правочину з ТОВ "Аратта Iнвест" (м. Днiпро). Предмет правочину: п</w:t>
            </w:r>
            <w:r>
              <w:rPr>
                <w:rFonts w:eastAsia="Times New Roman"/>
                <w:color w:val="000000"/>
              </w:rPr>
              <w:t>остачання поковок для АЕС. Ринкова вартiсть майна або послуг, що є предметом правочину, визначена вiдповiдно до законодавства, становить:160 000 000,00 грн. у т.ч. ПДВ. Вартiсть активiв емiтента за даними останньої рiчної фiнансової звiтностi становить 1 5</w:t>
            </w:r>
            <w:r>
              <w:rPr>
                <w:rFonts w:eastAsia="Times New Roman"/>
                <w:color w:val="000000"/>
              </w:rPr>
              <w:t>45 401 тис. грн. Спiввiдношення ринкової вартостi майна або послуг, що є предметом правочину, до вартостi активiв емiтента за даними останньої рiчної фiнансової звiтностi складає 10,35%. Додатковi критерiї для вiднесення правочину до значного, що не передб</w:t>
            </w:r>
            <w:r>
              <w:rPr>
                <w:rFonts w:eastAsia="Times New Roman"/>
                <w:color w:val="000000"/>
              </w:rPr>
              <w:t>аченi законодавством, статутом акцiонерного товариства не визначенi.</w:t>
            </w:r>
          </w:p>
        </w:tc>
      </w:tr>
    </w:tbl>
    <w:p w:rsidR="00CA28C2" w:rsidRDefault="00CA28C2">
      <w:pPr>
        <w:rPr>
          <w:rFonts w:eastAsia="Times New Roman"/>
        </w:rPr>
      </w:pPr>
    </w:p>
    <w:sectPr w:rsidR="00CA28C2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03250"/>
    <w:rsid w:val="00A03250"/>
    <w:rsid w:val="00CA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Провозён Екатерина Александровна</dc:creator>
  <cp:lastModifiedBy>Провозён Екатерина Александровна</cp:lastModifiedBy>
  <cp:revision>2</cp:revision>
  <dcterms:created xsi:type="dcterms:W3CDTF">2019-02-01T09:17:00Z</dcterms:created>
  <dcterms:modified xsi:type="dcterms:W3CDTF">2019-02-01T09:17:00Z</dcterms:modified>
</cp:coreProperties>
</file>