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D666CB">
        <w:rPr>
          <w:rFonts w:ascii="Times New Roman CYR" w:hAnsi="Times New Roman CYR" w:cs="Times New Roman CYR"/>
          <w:b/>
          <w:bCs/>
          <w:sz w:val="28"/>
          <w:szCs w:val="28"/>
          <w:lang w:val="uk-UA"/>
        </w:rPr>
        <w:t>Титульний аркуш Повідомлення (Повідомлення про інформацію)</w:t>
      </w:r>
    </w:p>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8"/>
          <w:szCs w:val="28"/>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B347BE" w:rsidRPr="00D666CB">
        <w:trPr>
          <w:trHeight w:val="300"/>
        </w:trPr>
        <w:tc>
          <w:tcPr>
            <w:tcW w:w="4000" w:type="dxa"/>
            <w:tcBorders>
              <w:top w:val="nil"/>
              <w:left w:val="nil"/>
              <w:bottom w:val="single" w:sz="6" w:space="0" w:color="auto"/>
              <w:right w:val="nil"/>
            </w:tcBorders>
            <w:vAlign w:val="bottom"/>
          </w:tcPr>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23.04.2019</w:t>
            </w:r>
          </w:p>
        </w:tc>
      </w:tr>
      <w:tr w:rsidR="00B347BE" w:rsidRPr="00D666CB">
        <w:trPr>
          <w:trHeight w:val="300"/>
        </w:trPr>
        <w:tc>
          <w:tcPr>
            <w:tcW w:w="4000" w:type="dxa"/>
            <w:tcBorders>
              <w:top w:val="nil"/>
              <w:left w:val="nil"/>
              <w:bottom w:val="nil"/>
              <w:right w:val="nil"/>
            </w:tcBorders>
            <w:vAlign w:val="bottom"/>
          </w:tcPr>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(дата реєстрації емітентом електронного документа)</w:t>
            </w:r>
          </w:p>
        </w:tc>
      </w:tr>
      <w:tr w:rsidR="00B347BE" w:rsidRPr="00D666CB">
        <w:trPr>
          <w:trHeight w:val="300"/>
        </w:trPr>
        <w:tc>
          <w:tcPr>
            <w:tcW w:w="4000" w:type="dxa"/>
            <w:tcBorders>
              <w:top w:val="nil"/>
              <w:left w:val="nil"/>
              <w:bottom w:val="single" w:sz="6" w:space="0" w:color="auto"/>
              <w:right w:val="nil"/>
            </w:tcBorders>
            <w:vAlign w:val="bottom"/>
          </w:tcPr>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 4</w:t>
            </w:r>
          </w:p>
        </w:tc>
        <w:bookmarkStart w:id="0" w:name="_GoBack"/>
        <w:bookmarkEnd w:id="0"/>
      </w:tr>
      <w:tr w:rsidR="00B347BE" w:rsidRPr="00D666CB">
        <w:trPr>
          <w:trHeight w:val="300"/>
        </w:trPr>
        <w:tc>
          <w:tcPr>
            <w:tcW w:w="4000" w:type="dxa"/>
            <w:tcBorders>
              <w:top w:val="nil"/>
              <w:left w:val="nil"/>
              <w:bottom w:val="nil"/>
              <w:right w:val="nil"/>
            </w:tcBorders>
            <w:vAlign w:val="bottom"/>
          </w:tcPr>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(вихідний реєстраційний номер електронного документа)</w:t>
            </w:r>
          </w:p>
        </w:tc>
      </w:tr>
    </w:tbl>
    <w:p w:rsidR="00B347BE" w:rsidRPr="00D666CB" w:rsidRDefault="00B347BE">
      <w:pPr>
        <w:widowControl w:val="0"/>
        <w:autoSpaceDE w:val="0"/>
        <w:autoSpaceDN w:val="0"/>
        <w:adjustRightInd w:val="0"/>
        <w:spacing w:after="0" w:line="240" w:lineRule="auto"/>
        <w:rPr>
          <w:rFonts w:ascii="Times New Roman CYR" w:hAnsi="Times New Roman CYR" w:cs="Times New Roman CYR"/>
          <w:sz w:val="20"/>
          <w:szCs w:val="20"/>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B347BE" w:rsidRPr="00D666CB">
        <w:trPr>
          <w:trHeight w:val="300"/>
        </w:trPr>
        <w:tc>
          <w:tcPr>
            <w:tcW w:w="10080" w:type="dxa"/>
            <w:tcBorders>
              <w:top w:val="nil"/>
              <w:left w:val="nil"/>
              <w:bottom w:val="nil"/>
              <w:right w:val="nil"/>
            </w:tcBorders>
            <w:vAlign w:val="bottom"/>
          </w:tcPr>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B347BE" w:rsidRPr="00D666CB" w:rsidRDefault="00B347BE">
      <w:pPr>
        <w:widowControl w:val="0"/>
        <w:autoSpaceDE w:val="0"/>
        <w:autoSpaceDN w:val="0"/>
        <w:adjustRightInd w:val="0"/>
        <w:spacing w:after="0" w:line="240" w:lineRule="auto"/>
        <w:rPr>
          <w:rFonts w:ascii="Times New Roman CYR" w:hAnsi="Times New Roman CYR" w:cs="Times New Roman CYR"/>
          <w:sz w:val="24"/>
          <w:szCs w:val="24"/>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B347BE" w:rsidRPr="00D666CB">
        <w:trPr>
          <w:trHeight w:val="200"/>
        </w:trPr>
        <w:tc>
          <w:tcPr>
            <w:tcW w:w="4140" w:type="dxa"/>
            <w:tcBorders>
              <w:top w:val="nil"/>
              <w:left w:val="nil"/>
              <w:bottom w:val="single" w:sz="6" w:space="0" w:color="auto"/>
              <w:right w:val="nil"/>
            </w:tcBorders>
            <w:vAlign w:val="bottom"/>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Голова Правлiння</w:t>
            </w:r>
          </w:p>
        </w:tc>
        <w:tc>
          <w:tcPr>
            <w:tcW w:w="216" w:type="dxa"/>
            <w:tcBorders>
              <w:top w:val="nil"/>
              <w:left w:val="nil"/>
              <w:bottom w:val="nil"/>
              <w:right w:val="nil"/>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354" w:type="dxa"/>
            <w:tcBorders>
              <w:top w:val="nil"/>
              <w:left w:val="nil"/>
              <w:bottom w:val="single" w:sz="6" w:space="0" w:color="auto"/>
              <w:right w:val="nil"/>
            </w:tcBorders>
            <w:vAlign w:val="bottom"/>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216" w:type="dxa"/>
            <w:tcBorders>
              <w:top w:val="nil"/>
              <w:left w:val="nil"/>
              <w:bottom w:val="nil"/>
              <w:right w:val="nil"/>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4154" w:type="dxa"/>
            <w:tcBorders>
              <w:top w:val="nil"/>
              <w:left w:val="nil"/>
              <w:bottom w:val="single" w:sz="6" w:space="0" w:color="auto"/>
              <w:right w:val="nil"/>
            </w:tcBorders>
            <w:vAlign w:val="bottom"/>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Ковтун Олександр Миколайович</w:t>
            </w:r>
          </w:p>
        </w:tc>
      </w:tr>
      <w:tr w:rsidR="00B347BE" w:rsidRPr="00D666CB">
        <w:trPr>
          <w:trHeight w:val="200"/>
        </w:trPr>
        <w:tc>
          <w:tcPr>
            <w:tcW w:w="4140" w:type="dxa"/>
            <w:tcBorders>
              <w:top w:val="nil"/>
              <w:left w:val="nil"/>
              <w:bottom w:val="nil"/>
              <w:right w:val="nil"/>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(посада)</w:t>
            </w:r>
          </w:p>
        </w:tc>
        <w:tc>
          <w:tcPr>
            <w:tcW w:w="216" w:type="dxa"/>
            <w:tcBorders>
              <w:top w:val="nil"/>
              <w:left w:val="nil"/>
              <w:bottom w:val="nil"/>
              <w:right w:val="nil"/>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c>
          <w:tcPr>
            <w:tcW w:w="1354" w:type="dxa"/>
            <w:tcBorders>
              <w:top w:val="nil"/>
              <w:left w:val="nil"/>
              <w:bottom w:val="nil"/>
              <w:right w:val="nil"/>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(підпис)</w:t>
            </w:r>
          </w:p>
        </w:tc>
        <w:tc>
          <w:tcPr>
            <w:tcW w:w="216" w:type="dxa"/>
            <w:tcBorders>
              <w:top w:val="nil"/>
              <w:left w:val="nil"/>
              <w:bottom w:val="nil"/>
              <w:right w:val="nil"/>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c>
          <w:tcPr>
            <w:tcW w:w="4154" w:type="dxa"/>
            <w:tcBorders>
              <w:top w:val="nil"/>
              <w:left w:val="nil"/>
              <w:bottom w:val="nil"/>
              <w:right w:val="nil"/>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(прізвище та ініціали керівника)</w:t>
            </w:r>
          </w:p>
        </w:tc>
      </w:tr>
    </w:tbl>
    <w:p w:rsidR="00B347BE" w:rsidRPr="00D666CB" w:rsidRDefault="00B347BE">
      <w:pPr>
        <w:widowControl w:val="0"/>
        <w:autoSpaceDE w:val="0"/>
        <w:autoSpaceDN w:val="0"/>
        <w:adjustRightInd w:val="0"/>
        <w:spacing w:after="0" w:line="240" w:lineRule="auto"/>
        <w:rPr>
          <w:rFonts w:ascii="Times New Roman CYR" w:hAnsi="Times New Roman CYR" w:cs="Times New Roman CYR"/>
          <w:sz w:val="20"/>
          <w:szCs w:val="20"/>
          <w:lang w:val="uk-UA"/>
        </w:rPr>
      </w:pPr>
    </w:p>
    <w:p w:rsidR="00B347BE" w:rsidRPr="00D666CB" w:rsidRDefault="00B347BE">
      <w:pPr>
        <w:widowControl w:val="0"/>
        <w:autoSpaceDE w:val="0"/>
        <w:autoSpaceDN w:val="0"/>
        <w:adjustRightInd w:val="0"/>
        <w:spacing w:after="0" w:line="240" w:lineRule="auto"/>
        <w:rPr>
          <w:rFonts w:ascii="Times New Roman CYR" w:hAnsi="Times New Roman CYR" w:cs="Times New Roman CYR"/>
          <w:sz w:val="20"/>
          <w:szCs w:val="20"/>
          <w:lang w:val="uk-UA"/>
        </w:rPr>
      </w:pPr>
    </w:p>
    <w:p w:rsidR="00B347BE" w:rsidRPr="00D666CB" w:rsidRDefault="00B347BE">
      <w:pPr>
        <w:widowControl w:val="0"/>
        <w:autoSpaceDE w:val="0"/>
        <w:autoSpaceDN w:val="0"/>
        <w:adjustRightInd w:val="0"/>
        <w:spacing w:after="0" w:line="240" w:lineRule="auto"/>
        <w:rPr>
          <w:rFonts w:ascii="Times New Roman CYR" w:hAnsi="Times New Roman CYR" w:cs="Times New Roman CYR"/>
          <w:sz w:val="20"/>
          <w:szCs w:val="20"/>
          <w:lang w:val="uk-UA"/>
        </w:rPr>
      </w:pPr>
    </w:p>
    <w:p w:rsidR="00B347BE" w:rsidRPr="00D666CB" w:rsidRDefault="00B347BE">
      <w:pPr>
        <w:widowControl w:val="0"/>
        <w:autoSpaceDE w:val="0"/>
        <w:autoSpaceDN w:val="0"/>
        <w:adjustRightInd w:val="0"/>
        <w:spacing w:after="0" w:line="240" w:lineRule="auto"/>
        <w:rPr>
          <w:rFonts w:ascii="Times New Roman CYR" w:hAnsi="Times New Roman CYR" w:cs="Times New Roman CYR"/>
          <w:sz w:val="20"/>
          <w:szCs w:val="20"/>
          <w:lang w:val="uk-UA"/>
        </w:rPr>
      </w:pPr>
    </w:p>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D666CB">
        <w:rPr>
          <w:rFonts w:ascii="Times New Roman CYR" w:hAnsi="Times New Roman CYR" w:cs="Times New Roman CYR"/>
          <w:b/>
          <w:bCs/>
          <w:sz w:val="28"/>
          <w:szCs w:val="28"/>
          <w:lang w:val="uk-UA"/>
        </w:rPr>
        <w:t>Особлива інформація (інформація про іпотечні цінні папери, сертифікати фонду операцій з нерухомістю) емітента</w:t>
      </w:r>
    </w:p>
    <w:p w:rsidR="00B347BE" w:rsidRPr="00D666CB" w:rsidRDefault="00B347BE">
      <w:pPr>
        <w:widowControl w:val="0"/>
        <w:autoSpaceDE w:val="0"/>
        <w:autoSpaceDN w:val="0"/>
        <w:adjustRightInd w:val="0"/>
        <w:spacing w:after="0" w:line="240" w:lineRule="auto"/>
        <w:rPr>
          <w:rFonts w:ascii="Times New Roman CYR" w:hAnsi="Times New Roman CYR" w:cs="Times New Roman CYR"/>
          <w:b/>
          <w:bCs/>
          <w:sz w:val="28"/>
          <w:szCs w:val="28"/>
          <w:lang w:val="uk-UA"/>
        </w:rPr>
      </w:pPr>
    </w:p>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D666CB">
        <w:rPr>
          <w:rFonts w:ascii="Times New Roman CYR" w:hAnsi="Times New Roman CYR" w:cs="Times New Roman CYR"/>
          <w:b/>
          <w:bCs/>
          <w:sz w:val="24"/>
          <w:szCs w:val="24"/>
          <w:lang w:val="uk-UA"/>
        </w:rPr>
        <w:t>І. Загальні відомості</w:t>
      </w:r>
    </w:p>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1. Повне найменування емітента</w:t>
      </w:r>
    </w:p>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ab/>
        <w:t>Акцiонерне товариство "Сумський завод насосного та енергетичного машинобудування "Насосенергомаш"</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2. Організаційно-правова форма</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ab/>
        <w:t>Приватне акціонерне товариство</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3. Місцезнаходження</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ab/>
        <w:t>40011 м. Суми, пл. Привокзальна, 1</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4. Ідентифікаційний код юридичної особи</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ab/>
        <w:t>05785448</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5. Міжміський код та телефон, факс</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ab/>
        <w:t>(0542)70-00-49, (0542)70-00-42</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6. Адреса електронної пошти</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ab/>
        <w:t>ootiz@nempump.com</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ab/>
        <w:t>Державна установа "Агентство з розвитку інфраструктури фондового ринку України", 21676262, 804, DR/00001/APA</w:t>
      </w:r>
    </w:p>
    <w:p w:rsidR="00B347BE" w:rsidRPr="00D666CB" w:rsidRDefault="00B347BE">
      <w:pPr>
        <w:widowControl w:val="0"/>
        <w:autoSpaceDE w:val="0"/>
        <w:autoSpaceDN w:val="0"/>
        <w:adjustRightInd w:val="0"/>
        <w:spacing w:after="0" w:line="240" w:lineRule="auto"/>
        <w:rPr>
          <w:rFonts w:ascii="Times New Roman CYR" w:hAnsi="Times New Roman CYR" w:cs="Times New Roman CYR"/>
          <w:sz w:val="24"/>
          <w:szCs w:val="24"/>
          <w:lang w:val="uk-UA"/>
        </w:rPr>
      </w:pPr>
    </w:p>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D666CB">
        <w:rPr>
          <w:rFonts w:ascii="Times New Roman CYR" w:hAnsi="Times New Roman CYR" w:cs="Times New Roman CYR"/>
          <w:b/>
          <w:bCs/>
          <w:sz w:val="24"/>
          <w:szCs w:val="24"/>
          <w:lang w:val="uk-UA"/>
        </w:rPr>
        <w:t xml:space="preserve">ІІ. Дані про дату та місце оприлюднення Повідомлення (Повідомлення про інформацію) </w:t>
      </w:r>
    </w:p>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B347BE" w:rsidRPr="00D666CB">
        <w:trPr>
          <w:trHeight w:val="300"/>
        </w:trPr>
        <w:tc>
          <w:tcPr>
            <w:tcW w:w="4450" w:type="dxa"/>
            <w:tcBorders>
              <w:top w:val="nil"/>
              <w:left w:val="nil"/>
              <w:bottom w:val="nil"/>
              <w:right w:val="nil"/>
            </w:tcBorders>
            <w:vAlign w:val="bottom"/>
          </w:tcPr>
          <w:p w:rsidR="00B347BE" w:rsidRPr="00D666CB" w:rsidRDefault="00DD1A24">
            <w:pPr>
              <w:widowControl w:val="0"/>
              <w:autoSpaceDE w:val="0"/>
              <w:autoSpaceDN w:val="0"/>
              <w:adjustRightInd w:val="0"/>
              <w:spacing w:after="0" w:line="240" w:lineRule="auto"/>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 xml:space="preserve">http://www.nempump.com </w:t>
            </w:r>
          </w:p>
        </w:tc>
        <w:tc>
          <w:tcPr>
            <w:tcW w:w="3350" w:type="dxa"/>
            <w:tcBorders>
              <w:top w:val="nil"/>
              <w:left w:val="nil"/>
              <w:bottom w:val="single" w:sz="6" w:space="0" w:color="auto"/>
              <w:right w:val="nil"/>
            </w:tcBorders>
            <w:vAlign w:val="bottom"/>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D666CB">
              <w:rPr>
                <w:rFonts w:ascii="Times New Roman CYR" w:hAnsi="Times New Roman CYR" w:cs="Times New Roman CYR"/>
                <w:sz w:val="24"/>
                <w:szCs w:val="24"/>
                <w:lang w:val="uk-UA"/>
              </w:rPr>
              <w:t>24.04.2019</w:t>
            </w:r>
          </w:p>
        </w:tc>
      </w:tr>
      <w:tr w:rsidR="00B347BE" w:rsidRPr="00D666CB">
        <w:trPr>
          <w:trHeight w:val="300"/>
        </w:trPr>
        <w:tc>
          <w:tcPr>
            <w:tcW w:w="4450" w:type="dxa"/>
            <w:tcBorders>
              <w:top w:val="nil"/>
              <w:left w:val="nil"/>
              <w:bottom w:val="nil"/>
              <w:right w:val="nil"/>
            </w:tcBorders>
            <w:vAlign w:val="bottom"/>
          </w:tcPr>
          <w:p w:rsidR="00B347BE" w:rsidRPr="00D666CB" w:rsidRDefault="00B347BE">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2200" w:type="dxa"/>
            <w:tcBorders>
              <w:top w:val="nil"/>
              <w:left w:val="nil"/>
              <w:bottom w:val="nil"/>
              <w:right w:val="nil"/>
            </w:tcBorders>
            <w:vAlign w:val="bottom"/>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(адреса сторінки)</w:t>
            </w:r>
          </w:p>
        </w:tc>
        <w:tc>
          <w:tcPr>
            <w:tcW w:w="3350" w:type="dxa"/>
            <w:tcBorders>
              <w:top w:val="nil"/>
              <w:left w:val="nil"/>
              <w:bottom w:val="nil"/>
              <w:right w:val="nil"/>
            </w:tcBorders>
            <w:vAlign w:val="bottom"/>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(дата)</w:t>
            </w:r>
          </w:p>
        </w:tc>
      </w:tr>
    </w:tbl>
    <w:p w:rsidR="00B347BE" w:rsidRPr="00D666CB" w:rsidRDefault="00B347BE">
      <w:pPr>
        <w:widowControl w:val="0"/>
        <w:autoSpaceDE w:val="0"/>
        <w:autoSpaceDN w:val="0"/>
        <w:adjustRightInd w:val="0"/>
        <w:spacing w:after="0" w:line="240" w:lineRule="auto"/>
        <w:rPr>
          <w:rFonts w:ascii="Times New Roman CYR" w:hAnsi="Times New Roman CYR" w:cs="Times New Roman CYR"/>
          <w:sz w:val="20"/>
          <w:szCs w:val="20"/>
          <w:lang w:val="uk-UA"/>
        </w:rPr>
        <w:sectPr w:rsidR="00B347BE" w:rsidRPr="00D666CB">
          <w:pgSz w:w="12240" w:h="15840"/>
          <w:pgMar w:top="850" w:right="850" w:bottom="850" w:left="1400" w:header="720" w:footer="720" w:gutter="0"/>
          <w:cols w:space="720"/>
          <w:noEndnote/>
        </w:sectPr>
      </w:pPr>
    </w:p>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D666CB">
        <w:rPr>
          <w:rFonts w:ascii="Times New Roman CYR" w:hAnsi="Times New Roman CYR" w:cs="Times New Roman CYR"/>
          <w:b/>
          <w:bCs/>
          <w:sz w:val="24"/>
          <w:szCs w:val="24"/>
          <w:lang w:val="uk-UA"/>
        </w:rPr>
        <w:lastRenderedPageBreak/>
        <w:t>Відомості про прийняття рішення про надання згоди на вчинення значних правочинів</w:t>
      </w:r>
    </w:p>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800"/>
        <w:gridCol w:w="1900"/>
        <w:gridCol w:w="2000"/>
        <w:gridCol w:w="2000"/>
        <w:gridCol w:w="2000"/>
      </w:tblGrid>
      <w:tr w:rsidR="00B347BE" w:rsidRPr="00D666CB">
        <w:trPr>
          <w:trHeight w:val="300"/>
        </w:trPr>
        <w:tc>
          <w:tcPr>
            <w:tcW w:w="762" w:type="dxa"/>
            <w:tcBorders>
              <w:top w:val="single" w:sz="6" w:space="0" w:color="auto"/>
              <w:bottom w:val="single" w:sz="6" w:space="0" w:color="auto"/>
              <w:right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 з/п</w:t>
            </w:r>
          </w:p>
        </w:tc>
        <w:tc>
          <w:tcPr>
            <w:tcW w:w="1800" w:type="dxa"/>
            <w:tcBorders>
              <w:top w:val="single" w:sz="6" w:space="0" w:color="auto"/>
              <w:left w:val="single" w:sz="6" w:space="0" w:color="auto"/>
              <w:bottom w:val="single" w:sz="6" w:space="0" w:color="auto"/>
              <w:right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Дата прийняття рішення</w:t>
            </w:r>
          </w:p>
        </w:tc>
        <w:tc>
          <w:tcPr>
            <w:tcW w:w="1900" w:type="dxa"/>
            <w:tcBorders>
              <w:top w:val="single" w:sz="6" w:space="0" w:color="auto"/>
              <w:left w:val="single" w:sz="6" w:space="0" w:color="auto"/>
              <w:bottom w:val="single" w:sz="6" w:space="0" w:color="auto"/>
              <w:right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Ринкова вартість майна або послуг, що є предметом правочину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Вартість активів емітента за даними останньої річної фінансової звітності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Адреса сторінки власного веб-сайту, на якій розміщений протокол загальних зборів акціонерів/засідання наглядової ради, на яких/якому прийняте рішення</w:t>
            </w:r>
          </w:p>
        </w:tc>
      </w:tr>
      <w:tr w:rsidR="00B347BE" w:rsidRPr="00D666CB">
        <w:trPr>
          <w:trHeight w:val="300"/>
        </w:trPr>
        <w:tc>
          <w:tcPr>
            <w:tcW w:w="762" w:type="dxa"/>
            <w:tcBorders>
              <w:top w:val="single" w:sz="6" w:space="0" w:color="auto"/>
              <w:bottom w:val="single" w:sz="6" w:space="0" w:color="auto"/>
              <w:right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w:t>
            </w:r>
          </w:p>
        </w:tc>
        <w:tc>
          <w:tcPr>
            <w:tcW w:w="1800" w:type="dxa"/>
            <w:tcBorders>
              <w:top w:val="single" w:sz="6" w:space="0" w:color="auto"/>
              <w:left w:val="single" w:sz="6" w:space="0" w:color="auto"/>
              <w:bottom w:val="single" w:sz="6" w:space="0" w:color="auto"/>
              <w:right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w:t>
            </w:r>
          </w:p>
        </w:tc>
        <w:tc>
          <w:tcPr>
            <w:tcW w:w="1900" w:type="dxa"/>
            <w:tcBorders>
              <w:top w:val="single" w:sz="6" w:space="0" w:color="auto"/>
              <w:left w:val="single" w:sz="6" w:space="0" w:color="auto"/>
              <w:bottom w:val="single" w:sz="6" w:space="0" w:color="auto"/>
              <w:right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3</w:t>
            </w:r>
          </w:p>
        </w:tc>
        <w:tc>
          <w:tcPr>
            <w:tcW w:w="2000" w:type="dxa"/>
            <w:tcBorders>
              <w:top w:val="single" w:sz="6" w:space="0" w:color="auto"/>
              <w:left w:val="single" w:sz="6" w:space="0" w:color="auto"/>
              <w:bottom w:val="single" w:sz="6" w:space="0" w:color="auto"/>
              <w:right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4</w:t>
            </w:r>
          </w:p>
        </w:tc>
        <w:tc>
          <w:tcPr>
            <w:tcW w:w="2000" w:type="dxa"/>
            <w:tcBorders>
              <w:top w:val="single" w:sz="6" w:space="0" w:color="auto"/>
              <w:left w:val="single" w:sz="6" w:space="0" w:color="auto"/>
              <w:bottom w:val="single" w:sz="6" w:space="0" w:color="auto"/>
              <w:right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5</w:t>
            </w:r>
          </w:p>
        </w:tc>
        <w:tc>
          <w:tcPr>
            <w:tcW w:w="2000" w:type="dxa"/>
            <w:tcBorders>
              <w:top w:val="single" w:sz="6" w:space="0" w:color="auto"/>
              <w:left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6</w:t>
            </w: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383 617</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21,8</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 вчинений до моменту проведення даних Зборів і визнати його такими, що відповідає інтересам Товариства. Контрагент: ПАТ Страхова компанiя "Кремiнь" (м. Київ). Договір добровільного страхування майна №1001259-17-01-18 від 01.07.2018 р. Предмет Правочину: основнi засоби станом. Ринкова вартiсть майна або послуг, що є предметом правочину, визначена вiдповiдно до законодавства, становить: 383 616 739,22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21,8%.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180 727</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10,27</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 вчинений до моменту проведення даних Зборів і визнати його такими, що відповідає інтересам Товариства. Контрагент: ПАТ Страхова компанiя "Кремiнь" (м. Київ). Адендум №16 від 01.12.18 до Договору добровільного страхування майна №1001214-17-01-18 від 15.06.2018 р. Предмет Правочину: виробничі запаси станом на 30.11.18. Ринкова вартiсть майна або послуг, що є предметом правочину, визначена вiдповiдно до законодавства, становить: 180 726 660,07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10,27%.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3</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241 835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13,74</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 вчинений до моменту проведення даних Зборів і визнати його такими, що відповідає інтересам Товариства. Контрагент: ПАТ Страхова компанiя "Кремiнь" (м. Київ). Адендум №17 від 01.12.18 до Договору добровільного страхування майна №1001214-17-01-18 від 15.06.2018 р. Предмет Правочину: запаси в незавершеному виробництві станом на 30.11.18. Ринкова вартiсть майна або послуг, що є предметом правочину, визначена вiдповiдно до законодавства, становить: 241 834 778,17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13,74%.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4</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215 909</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12,27</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lastRenderedPageBreak/>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 вчинений до моменту проведення даних Зборів і визнати його такими, що відповідає інтересам Товариства. Контрагент: ПАТ Страхова компанiя "Кремiнь" (м. Київ). Адендум №20 від 01.01.19 до Договору добровільного страхування майна №1001214-17-01-18 від 15.06.2018 р. Предмет Правочину: запаси в незавершеному виробництві станом на 31.12.18. Ринкова вартiсть майна або послуг, що є предметом правочину, визначена вiдповiдно до законодавства, становить: 215 908 530,62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12,27%.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5</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1 014 990</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57,67</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правочини, вчинені до моменту проведення даних Зборів і визнати їх такими, що відповідають інтересам Товариства. Контрагент: ПАТ "СБЕРБАНК" (м. Київ). Додаткові угоди до Договору для проведення вкладних операцій №33653/38 від 21.09.2012р. №№1224, 1226, 1228, 1230, 1233, 1235, 1237, 1239, 1240, 1244, 1246, 1248, 1250, 1252, 1253, 1256, 1257, 1259, 1261, 1263, 1266-1268, 1270, 1273, 1274, 1277, 1278, 1280, 1283, 1284, 1286, 1288, 1290, 1293, 1294, 1296, 1299, 1300, 1302, 1304, 1306, 1309, 1310, 1312, 1313, 1315, 1318, 1320, 1322-1324, 1327, 1330, 1333, 1336, 1339, 1342, 1345, 1349, 1353, 1356, 1361, 1362, 1367, 1368, 1371, 1374, 1377, 1379, 1381, 1383, 1385, 1388, 1390, 1391, 1394, 1395, 1397, 1399, 1401, 1403, 1407, 1410, 1413, 1415, 1417, 1420, укладені  у період з 01.01.2018 по 21.05.2018. Ринкова вартiсть майна або послуг, що є предметом правочину, визначена вiдповiдно до законодавства, становить: 1 014 990 000,00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57,67%.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6</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418 700</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23,79</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правочини, вчинені до моменту проведення даних Зборів і визнати їх такими, що відповідають інтересам Товариства. Контрагент: ПАТ "СБЕРБАНК" (м. Київ). Додаткові угоди №№1-22 до Договору для проведення вкладних операцій №33653/038/1 від 10.01.2019р, укладені у період з 18.01.2019р. по 15.02.2019р. Ринкова вартiсть майна або послуг, що є предметом правочину, визначена вiдповiдно до законодавства, становить: 418 700 000,00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23,79%.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7</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839 540</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47,7</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 вчинений до моменту проведення даних Зборів і визнати його такими, що відповідає інтересам Товариства. Контрагент: АО "ГИДРОМАШСЕРВИС" (м. Москва, Росія). Договір постачання насосного обладнання №17/000010 від 10.05.17. Ринкова вартiсть майна або послуг, що є предметом правочину, визначена вiдповiдно до законодавства, становить: 2 000 000 000,00 руб. РФ,  що станом на 23.04.19 згiдно з офiцiйним курсом НБУ становить 839 540 000,00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47,7%.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p w:rsidR="00B347BE" w:rsidRPr="00D666CB" w:rsidRDefault="00B347BE">
            <w:pPr>
              <w:widowControl w:val="0"/>
              <w:autoSpaceDE w:val="0"/>
              <w:autoSpaceDN w:val="0"/>
              <w:adjustRightInd w:val="0"/>
              <w:spacing w:after="0" w:line="240" w:lineRule="auto"/>
              <w:jc w:val="both"/>
              <w:rPr>
                <w:rFonts w:ascii="Times New Roman CYR" w:hAnsi="Times New Roman CYR" w:cs="Times New Roman CYR"/>
                <w:sz w:val="20"/>
                <w:szCs w:val="20"/>
                <w:lang w:val="uk-UA"/>
              </w:rPr>
            </w:pP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lastRenderedPageBreak/>
              <w:t>8</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567 675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32,26</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 вчинений до моменту проведення даних Зборів і визнати його такими, що відповідає інтересам Товариства. Контрагент: АО "ГИДРОМАШСЕРВИС" (м. Москва, Росія). Договір постачання насосного обладнання на Курську АЕС, Росія №ТК-662/2017-28.11.201701 від 28.11.17. Ринкова вартiсть майна або послуг, що є предметом правочину, визначена вiдповiдно до законодавства, становить: 1 352 346 600,00 руб. РФ,  що станом на 23.04.19 згiдно з офiцiйним курсом НБУ становить 567 674 532,28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32,26%.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p w:rsidR="00B347BE" w:rsidRPr="00D666CB" w:rsidRDefault="00B347BE">
            <w:pPr>
              <w:widowControl w:val="0"/>
              <w:autoSpaceDE w:val="0"/>
              <w:autoSpaceDN w:val="0"/>
              <w:adjustRightInd w:val="0"/>
              <w:spacing w:after="0" w:line="240" w:lineRule="auto"/>
              <w:jc w:val="both"/>
              <w:rPr>
                <w:rFonts w:ascii="Times New Roman CYR" w:hAnsi="Times New Roman CYR" w:cs="Times New Roman CYR"/>
                <w:sz w:val="20"/>
                <w:szCs w:val="20"/>
                <w:lang w:val="uk-UA"/>
              </w:rPr>
            </w:pP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9</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392 065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22,28</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 вчинений до моменту проведення даних Зборів і визнати його такими, що відповідає інтересам Товариства. Контрагент: АО "ГИДРОМАШСЕРВИС" (м. Москва, Росія). Договір постачання насосного обладнання на  АЕС "Рупур", Бангладеш №ТК-866/2018-01 від 10.12.18. Ринкова вартiсть майна або послуг, що є предметом правочину, визначена вiдповiдно до законодавства, становить: 934 000 080,00 руб. РФ, що станом на 23.04.19 згiдно з офiцiйним курсом НБУ становить 392 065 213,58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22,28%.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10</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419 770</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23,85</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 вчинений до моменту проведення даних Зборів і визнати його такими, що відповідає інтересам Товариства. Контрагент: АО Ливгидромаш" (м. Лівни, Росія). Договір постачання насосного обладнання №7198/17 від 04.10.17. Ринкова вартiсть майна або послуг, що є предметом правочину, визначена вiдповiдно до законодавства, становить: 1 000 000 000,00 руб. РФ, що станом на 23.04.19 згiдно з офiцiйним курсом НБУ становить 419 770 000,00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23,85%.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11</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262 044</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14,89</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 xml:space="preserve">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 вчинений до моменту проведення даних Зборів і визнати його такими, що відповідає інтересам Товариства. Контрагент: ПАТ Страхова компанiя "Кремiнь" (м. Київ). Адендум №14 від 01.11.18 до Договору добровільного страхування майна №1001214-17-01-18 від 15.06.2018 р. Предмет Правочину: основнi засоби станом на 31.10.18.  Ринкова вартiсть майна або послуг, що є предметом правочину, визначена вiдповiдно до законодавства, становить: 262 044 229,66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14,89%.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w:t>
            </w:r>
            <w:r w:rsidRPr="00D666CB">
              <w:rPr>
                <w:rFonts w:ascii="Times New Roman CYR" w:hAnsi="Times New Roman CYR" w:cs="Times New Roman CYR"/>
                <w:sz w:val="20"/>
                <w:szCs w:val="20"/>
                <w:lang w:val="uk-UA"/>
              </w:rPr>
              <w:lastRenderedPageBreak/>
              <w:t>статутом акцiонерного товариства не визначенi.</w:t>
            </w: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lastRenderedPageBreak/>
              <w:t>12</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2 427 740</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137,95</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правочини, вчинені до моменту проведення даних Зборів і визнати їх такими, що відповідають інтересам Товариства. Контрагент: ПАТ "СБЕРБАНК" (м. Київ). Додаткові угоди до Договору для проведення вкладних операцій №33653/38 від 21.09.2012р. №№1422, 1423, 1425, 1427, 1429, 1431, 1433, 1435, 1437, 1438, 1440, 1443, 1446, 1449, 1458, 1461, 1464, 1468, 1469, 1473, 1476, 1479, 1480, 1483, 1486, 1489-1492, 1495-1499, 1502-1505, 1508-1511, 1514-1518, 1521-1524, 1526, 1528, 1530, 1532, 1534, 1537, 1541, 1543-1548, 1550-1664, укладені  у період з 22.05.2018 по 17.01.2019. Ринкова вартiсть майна або послуг, що є предметом правочину, визначена вiдповiдно до законодавства, становить:2 427 740 000,00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137,95%.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tc>
      </w:tr>
      <w:tr w:rsidR="00B347BE" w:rsidRPr="00D666CB">
        <w:trPr>
          <w:trHeight w:val="300"/>
        </w:trPr>
        <w:tc>
          <w:tcPr>
            <w:tcW w:w="762" w:type="dxa"/>
            <w:tcBorders>
              <w:top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13</w:t>
            </w:r>
          </w:p>
        </w:tc>
        <w:tc>
          <w:tcPr>
            <w:tcW w:w="18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w:t>
            </w:r>
          </w:p>
        </w:tc>
        <w:tc>
          <w:tcPr>
            <w:tcW w:w="19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669 384</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1 759 845</w:t>
            </w:r>
          </w:p>
        </w:tc>
        <w:tc>
          <w:tcPr>
            <w:tcW w:w="2000" w:type="dxa"/>
            <w:tcBorders>
              <w:top w:val="single" w:sz="6" w:space="0" w:color="auto"/>
              <w:left w:val="single" w:sz="6" w:space="0" w:color="auto"/>
              <w:bottom w:val="single" w:sz="6" w:space="0" w:color="auto"/>
              <w:right w:val="single" w:sz="6" w:space="0" w:color="auto"/>
            </w:tcBorders>
          </w:tcPr>
          <w:p w:rsidR="00B347BE" w:rsidRPr="00D666CB" w:rsidRDefault="00DD1A24">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38,03</w:t>
            </w:r>
          </w:p>
        </w:tc>
        <w:tc>
          <w:tcPr>
            <w:tcW w:w="2000" w:type="dxa"/>
            <w:tcBorders>
              <w:top w:val="single" w:sz="6" w:space="0" w:color="auto"/>
              <w:left w:val="single" w:sz="6" w:space="0" w:color="auto"/>
              <w:bottom w:val="single" w:sz="6" w:space="0" w:color="auto"/>
            </w:tcBorders>
          </w:tcPr>
          <w:p w:rsidR="00B347BE" w:rsidRPr="00D666CB" w:rsidRDefault="00B347BE">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D666CB">
              <w:rPr>
                <w:rFonts w:ascii="Times New Roman CYR" w:hAnsi="Times New Roman CYR" w:cs="Times New Roman CYR"/>
                <w:b/>
                <w:bCs/>
                <w:sz w:val="20"/>
                <w:szCs w:val="20"/>
                <w:lang w:val="uk-UA"/>
              </w:rPr>
              <w:t>Зміст інформації:</w:t>
            </w:r>
          </w:p>
        </w:tc>
      </w:tr>
      <w:tr w:rsidR="00B347BE" w:rsidRPr="00D666CB">
        <w:trPr>
          <w:trHeight w:val="300"/>
        </w:trPr>
        <w:tc>
          <w:tcPr>
            <w:tcW w:w="10462" w:type="dxa"/>
            <w:gridSpan w:val="6"/>
            <w:tcBorders>
              <w:top w:val="single" w:sz="6" w:space="0" w:color="auto"/>
              <w:bottom w:val="single" w:sz="6" w:space="0" w:color="auto"/>
            </w:tcBorders>
            <w:vAlign w:val="center"/>
          </w:tcPr>
          <w:p w:rsidR="00B347BE" w:rsidRPr="00D666CB" w:rsidRDefault="00DD1A24">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D666CB">
              <w:rPr>
                <w:rFonts w:ascii="Times New Roman CYR" w:hAnsi="Times New Roman CYR" w:cs="Times New Roman CYR"/>
                <w:sz w:val="20"/>
                <w:szCs w:val="20"/>
                <w:lang w:val="uk-UA"/>
              </w:rPr>
              <w:t>23.04.2019р. Річними загальними зборами акціонерів АТ "Сумський завод "Насосенергомаш" (Протокол вiд 23.04.19) було прийняте рiшення схвалити (надати згоду на вчинення) правочин, вчинений до моменту проведення даних Зборів і визнати його такими, що відповідає інтересам Товариства. Контрагент: ТОВ "УКРЕСТ"(м. Запоріжжя). Договір закупівлі ТМЦ №28-3/04 від 04.01.18  Ринкова вартiсть майна або послуг, що є предметом правочину, визначена вiдповiдно до законодавства, становить: 25 000 000,00 долл. США, що станом на 23.04.19 згiдно з офiцiйним курсом НБУ становить 669 384 250,00 грн.  Вартiсть активiв емiтента за даними останньої рiчної фiнансової звiтностi становить 1 759 845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складає 38,03%. Загальна кількість голосуючих акцій - 29 241 037, кількість голосуючих акцій, що зареєстровані для участі у загальних зборах - 28 013 896 , кількість голосуючих акцій, що проголосували «за» - 28 013 566 та «проти» - 330 прийняття рішення. Додатковi критерiї для вiднесення правочину до значного, що не передбаченi законодавством, статутом акцiонерного товариства не визначенi.</w:t>
            </w:r>
          </w:p>
        </w:tc>
      </w:tr>
    </w:tbl>
    <w:p w:rsidR="00DD1A24" w:rsidRPr="00D666CB" w:rsidRDefault="00DD1A24">
      <w:pPr>
        <w:widowControl w:val="0"/>
        <w:autoSpaceDE w:val="0"/>
        <w:autoSpaceDN w:val="0"/>
        <w:adjustRightInd w:val="0"/>
        <w:spacing w:after="0" w:line="240" w:lineRule="auto"/>
        <w:rPr>
          <w:rFonts w:ascii="Times New Roman CYR" w:hAnsi="Times New Roman CYR" w:cs="Times New Roman CYR"/>
          <w:sz w:val="20"/>
          <w:szCs w:val="20"/>
          <w:lang w:val="uk-UA"/>
        </w:rPr>
      </w:pPr>
    </w:p>
    <w:sectPr w:rsidR="00DD1A24" w:rsidRPr="00D666CB">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6BA"/>
    <w:rsid w:val="008C56BA"/>
    <w:rsid w:val="00B347BE"/>
    <w:rsid w:val="00D666CB"/>
    <w:rsid w:val="00DD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NEM</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Провозён Екатерина Александровна</dc:creator>
  <cp:lastModifiedBy>Провозён Екатерина Александровна</cp:lastModifiedBy>
  <cp:revision>4</cp:revision>
  <dcterms:created xsi:type="dcterms:W3CDTF">2019-04-23T12:49:00Z</dcterms:created>
  <dcterms:modified xsi:type="dcterms:W3CDTF">2019-04-23T13:09:00Z</dcterms:modified>
</cp:coreProperties>
</file>